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Biên dịch</w:t>
      </w:r>
      <w:r w:rsidRPr="00FA254E">
        <w:rPr>
          <w:b/>
          <w:bCs/>
          <w:noProof/>
          <w:sz w:val="24"/>
          <w:szCs w:val="24"/>
        </w:rPr>
        <w:t xml:space="preserve"> chuyên ngành</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Translation for</w:t>
      </w:r>
      <w:r w:rsidRPr="00FA254E">
        <w:rPr>
          <w:b/>
          <w:bCs/>
          <w:noProof/>
          <w:sz w:val="24"/>
          <w:szCs w:val="24"/>
        </w:rPr>
        <w:t xml:space="preserve"> Specific Purposes</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TRI327</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trang bị cho người học từ vựng, cấu trúc ngữ pháp, thuật ngữ chuyên ngành về Kinh doanh-Thương mại và Du lịch ở mức độ chuyên sâu. Ngoài ra, học phần còn trang bị cho người học kỹ năng biên dịch cơ bản trong các lĩnh vực chuyên ngành. Sinh viên được thực hành biên dịch tóm tắy các tài liệu trình bày trong các hội nghị, hội thảo, diễn đàn chuyên ngành theo các chủ đề Kinh doanh-Thương mại và Du lịch. Sau khi kết thúc học phần, sinh viên có kỹ năng biên dịch thành thạo, linh hoạt và chính xác các chủ đề trên.</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để thực hiện hoạt động biên dịch và xử lý tốt các tình huống xảy ra trong quá trình biên dịch chuyên ngành; thiết kế các hoạt động biên dịch có liên quan đến các chủ đề chuyên sâu. Đồng thời, sinh viên có kỹ năng lập kế hoạch học tập và phương pháp học tập cho hướng nghiệp trong tương lai.</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và thảo luận về chương trình môn học</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yêu</w:t>
            </w:r>
            <w:r w:rsidRPr="00FA254E">
              <w:rPr>
                <w:noProof/>
                <w:sz w:val="24"/>
                <w:szCs w:val="24"/>
              </w:rPr>
              <w:t xml:space="preserve"> cầu cần thiết trong biên dịch chuyên ngành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Kỹ năng</w:t>
            </w:r>
            <w:r w:rsidRPr="00FA254E">
              <w:rPr>
                <w:noProof/>
                <w:sz w:val="24"/>
                <w:szCs w:val="24"/>
              </w:rPr>
              <w:t xml:space="preserve"> chọn từ vựng thích hợp trong biên dịch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Thực hành</w:t>
            </w:r>
            <w:r w:rsidRPr="00FA254E">
              <w:rPr>
                <w:noProof/>
                <w:sz w:val="24"/>
                <w:szCs w:val="24"/>
              </w:rPr>
              <w:t xml:space="preserve"> kỹ năng ghi chú</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Vận dụng</w:t>
            </w:r>
            <w:r w:rsidRPr="00FA254E">
              <w:rPr>
                <w:noProof/>
                <w:sz w:val="24"/>
                <w:szCs w:val="24"/>
              </w:rPr>
              <w:t xml:space="preserve"> các ký hiệu, hình thức viết tắt thông dụng trong biên dịch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Thực hành</w:t>
            </w:r>
            <w:r w:rsidRPr="00FA254E">
              <w:rPr>
                <w:noProof/>
                <w:sz w:val="24"/>
                <w:szCs w:val="24"/>
              </w:rPr>
              <w:t xml:space="preserve"> dịch các chuyên ngành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Bài tập</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Seminar</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Thảo luận</w:t>
            </w:r>
          </w:p>
        </w:tc>
        <w:tc>
          <w:tcPr>
            <w:tcW w:w="2127" w:type="dxa"/>
            <w:vAlign w:val="center"/>
          </w:tcPr>
          <w:p w:rsidR="00190B75" w:rsidRPr="00FA254E" w:rsidP="00190B75" w14:textId="1F32AB3D">
            <w:pPr>
              <w:spacing w:before="40" w:after="40"/>
              <w:jc w:val="center"/>
              <w:rPr>
                <w:sz w:val="24"/>
                <w:szCs w:val="24"/>
              </w:rPr>
            </w:pP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kết</w:t>
            </w:r>
            <w:r w:rsidRPr="00FA254E">
              <w:rPr>
                <w:noProof/>
                <w:sz w:val="24"/>
                <w:szCs w:val="24"/>
              </w:rPr>
              <w:t xml:space="preserve"> thúc học phần</w:t>
            </w:r>
          </w:p>
          <w:p w:rsidRPr="00FA254E" w:rsidP="00BB1685">
            <w:pPr>
              <w:spacing w:before="40" w:after="40"/>
              <w:rPr>
                <w:sz w:val="24"/>
                <w:szCs w:val="24"/>
              </w:rPr>
            </w:pPr>
            <w:r w:rsidRPr="00FA254E">
              <w:rPr>
                <w:noProof/>
                <w:sz w:val="24"/>
                <w:szCs w:val="24"/>
              </w:rPr>
              <w:t>Hình thức thi: Viết</w:t>
            </w:r>
          </w:p>
          <w:p w:rsidRPr="00FA254E" w:rsidP="00BB1685">
            <w:pPr>
              <w:spacing w:before="40" w:after="40"/>
              <w:rPr>
                <w:sz w:val="24"/>
                <w:szCs w:val="24"/>
              </w:rPr>
            </w:pPr>
            <w:r w:rsidRPr="00FA254E">
              <w:rPr>
                <w:noProof/>
                <w:sz w:val="24"/>
                <w:szCs w:val="24"/>
              </w:rPr>
              <w:t xml:space="preserve">- Đề mở: </w:t>
              <w:tab/>
            </w:r>
          </w:p>
          <w:p w:rsidR="00EF0C39" w:rsidRPr="00FA254E" w:rsidP="00BB1685">
            <w:pPr>
              <w:spacing w:before="40" w:after="40"/>
              <w:rPr>
                <w:color w:val="000000"/>
                <w:sz w:val="24"/>
                <w:szCs w:val="24"/>
              </w:rPr>
            </w:pPr>
            <w:r w:rsidRPr="00FA254E">
              <w:rPr>
                <w:noProof/>
                <w:sz w:val="24"/>
                <w:szCs w:val="24"/>
              </w:rPr>
              <w:t>- Đề đóng: x</w:t>
            </w:r>
          </w:p>
        </w:tc>
        <w:tc>
          <w:tcPr>
            <w:tcW w:w="2127" w:type="dxa"/>
            <w:shd w:val="clear" w:color="auto" w:fill="auto"/>
            <w:vAlign w:val="center"/>
          </w:tcPr>
          <w:p w:rsidR="00EF0C39" w:rsidRPr="00FA254E" w:rsidP="00BB1685" w14:textId="4823732C">
            <w:pPr>
              <w:spacing w:before="40" w:after="40"/>
              <w:jc w:val="center"/>
              <w:rPr>
                <w:color w:val="000000"/>
                <w:sz w:val="24"/>
                <w:szCs w:val="24"/>
              </w:rPr>
            </w:pP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Hoàng Minh</w:t>
            </w:r>
            <w:r w:rsidRPr="00FA254E">
              <w:rPr>
                <w:noProof/>
                <w:sz w:val="24"/>
                <w:szCs w:val="24"/>
              </w:rPr>
              <w:t xml:space="preserve"> Thu, Nguyễn Hòa</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Hướng dẫn</w:t>
            </w:r>
            <w:r w:rsidRPr="00FA254E">
              <w:rPr>
                <w:noProof/>
                <w:sz w:val="24"/>
                <w:szCs w:val="24"/>
              </w:rPr>
              <w:t xml:space="preserve"> đọc và dịch báo chí Anh-Việt</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2016</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NXB Đại</w:t>
            </w:r>
            <w:r w:rsidRPr="00FA254E">
              <w:rPr>
                <w:noProof/>
                <w:sz w:val="24"/>
                <w:szCs w:val="24"/>
              </w:rPr>
              <w:t xml:space="preserve"> Học Quốc Gia Hà Nội</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p>
        </w:tc>
        <w:tc>
          <w:tcPr>
            <w:tcW w:w="817" w:type="dxa"/>
            <w:vAlign w:val="center"/>
          </w:tcPr>
          <w:p w:rsidR="003D6B9E" w:rsidRPr="00FA254E" w:rsidP="004C26B6" w14:paraId="7AA73738"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Peter Newmark</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A Textbook</w:t>
            </w:r>
            <w:r w:rsidRPr="00FA254E">
              <w:rPr>
                <w:noProof/>
                <w:sz w:val="24"/>
                <w:szCs w:val="24"/>
              </w:rPr>
              <w:t xml:space="preserve"> of Traslation</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1988</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Longman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Thu</w:t>
            </w:r>
            <w:r w:rsidRPr="00FA254E">
              <w:rPr>
                <w:noProof/>
                <w:sz w:val="24"/>
                <w:szCs w:val="24"/>
              </w:rPr>
              <w:t xml:space="preserve"> Huyền (chủ biên)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Cẩm nang</w:t>
            </w:r>
            <w:r w:rsidRPr="00FA254E">
              <w:rPr>
                <w:noProof/>
                <w:sz w:val="24"/>
                <w:szCs w:val="24"/>
              </w:rPr>
              <w:t xml:space="preserve"> luyện dịch Việt -Anh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Đại</w:t>
            </w:r>
            <w:r w:rsidRPr="00FA254E">
              <w:rPr>
                <w:noProof/>
                <w:sz w:val="24"/>
                <w:szCs w:val="24"/>
              </w:rPr>
              <w:t xml:space="preserve"> Học Quốc Gia Hà Nội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Quốc</w:t>
            </w:r>
            <w:r w:rsidRPr="00FA254E">
              <w:rPr>
                <w:noProof/>
                <w:sz w:val="24"/>
                <w:szCs w:val="24"/>
              </w:rPr>
              <w:t xml:space="preserve"> Hùng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Hướng dẫn</w:t>
            </w:r>
            <w:r w:rsidRPr="00FA254E">
              <w:rPr>
                <w:noProof/>
                <w:sz w:val="24"/>
                <w:szCs w:val="24"/>
              </w:rPr>
              <w:t xml:space="preserve"> kỹ thuật biên dịch Anh - Việt Việt - Anh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Tổng</w:t>
            </w:r>
            <w:r w:rsidRPr="00FA254E">
              <w:rPr>
                <w:noProof/>
                <w:sz w:val="24"/>
                <w:szCs w:val="24"/>
              </w:rPr>
              <w:t xml:space="preserve"> hợp TPHCM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viễn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Davis Bellos</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Is that</w:t>
            </w:r>
            <w:r w:rsidRPr="00FA254E">
              <w:rPr>
                <w:noProof/>
                <w:sz w:val="24"/>
                <w:szCs w:val="24"/>
              </w:rPr>
              <w:t xml:space="preserve"> a Fish in Your Ear? Translation and the Meaning of</w:t>
            </w:r>
          </w:p>
          <w:p w:rsidR="003D6B9E" w:rsidRPr="00FA254E" w:rsidP="003D6B9E">
            <w:pPr>
              <w:spacing w:before="40" w:after="40"/>
              <w:jc w:val="both"/>
              <w:rPr>
                <w:sz w:val="24"/>
                <w:szCs w:val="24"/>
              </w:rPr>
            </w:pPr>
            <w:r w:rsidRPr="00FA254E">
              <w:rPr>
                <w:noProof/>
                <w:sz w:val="24"/>
                <w:szCs w:val="24"/>
              </w:rPr>
              <w:t>Everything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Penguin Books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6</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Corinne McKay</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How to</w:t>
            </w:r>
            <w:r w:rsidRPr="00FA254E">
              <w:rPr>
                <w:noProof/>
                <w:sz w:val="24"/>
                <w:szCs w:val="24"/>
              </w:rPr>
              <w:t xml:space="preserve"> Succeed as a Freelance Translator</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2006</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Two Rat</w:t>
            </w:r>
            <w:r w:rsidRPr="00FA254E">
              <w:rPr>
                <w:noProof/>
                <w:sz w:val="24"/>
                <w:szCs w:val="24"/>
              </w:rPr>
              <w:t xml:space="preserve"> Press</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Hoàng</w:t>
      </w:r>
      <w:r>
        <w:rPr>
          <w:b/>
          <w:bCs/>
          <w:noProof/>
          <w:sz w:val="24"/>
          <w:szCs w:val="24"/>
        </w:rPr>
        <w:t xml:space="preserve"> Hồ</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